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jc w:val="right"/>
        <w:tabs>
          <w:tab w:val="left" w:pos="426" w:leader="none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Приложение №</w:t>
      </w:r>
      <w:r>
        <w:rPr>
          <w:b/>
          <w:sz w:val="22"/>
          <w:szCs w:val="22"/>
        </w:rPr>
        <w:t xml:space="preserve">7</w:t>
      </w:r>
      <w:bookmarkStart w:id="0" w:name="_GoBack"/>
      <w:r/>
      <w:bookmarkEnd w:id="0"/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jc w:val="right"/>
        <w:rPr>
          <w:rFonts w:eastAsia="Calibri"/>
          <w:sz w:val="22"/>
          <w:szCs w:val="24"/>
          <w:lang w:eastAsia="en-US"/>
        </w:rPr>
      </w:pPr>
      <w:r>
        <w:rPr>
          <w:rFonts w:eastAsia="Calibri"/>
          <w:sz w:val="22"/>
          <w:szCs w:val="24"/>
          <w:lang w:eastAsia="en-US"/>
        </w:rPr>
        <w:t xml:space="preserve">к Договору №</w:t>
      </w:r>
      <w:r>
        <w:rPr>
          <w:rFonts w:eastAsia="Calibri"/>
          <w:sz w:val="22"/>
          <w:szCs w:val="24"/>
          <w:lang w:eastAsia="en-US"/>
        </w:rPr>
      </w:r>
    </w:p>
    <w:p>
      <w:pPr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  <w:t xml:space="preserve">Форма по раскрытию информации в отношении всей цепочки собственников,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b/>
          <w:lang w:eastAsia="en-US"/>
        </w:rPr>
      </w:pPr>
      <w:r>
        <w:rPr>
          <w:b/>
          <w:lang w:eastAsia="en-US"/>
        </w:rPr>
        <w:t xml:space="preserve">включая бенефициаров (в том числе, конечных)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spacing w:before="120"/>
        <w:tabs>
          <w:tab w:val="center" w:pos="4677" w:leader="none"/>
          <w:tab w:val="right" w:pos="9355" w:leader="none"/>
        </w:tabs>
        <w:rPr>
          <w:i/>
          <w:lang w:eastAsia="en-US"/>
        </w:rPr>
      </w:pPr>
      <w:r>
        <w:rPr>
          <w:i/>
          <w:lang w:eastAsia="en-US"/>
        </w:rPr>
        <w:t xml:space="preserve">Организационно-правовая форма (полностью) «Наименование контрагента»</w:t>
      </w:r>
      <w:r>
        <w:rPr>
          <w:i/>
          <w:lang w:eastAsia="en-US"/>
        </w:rPr>
      </w:r>
      <w:r>
        <w:rPr>
          <w:i/>
          <w:lang w:eastAsia="en-US"/>
        </w:rPr>
      </w:r>
    </w:p>
    <w:p>
      <w:pPr>
        <w:jc w:val="right"/>
        <w:spacing w:before="120"/>
        <w:tabs>
          <w:tab w:val="center" w:pos="4677" w:leader="none"/>
          <w:tab w:val="right" w:pos="9355" w:leader="none"/>
        </w:tabs>
        <w:rPr>
          <w:i/>
          <w:lang w:eastAsia="en-US"/>
        </w:rPr>
      </w:pPr>
      <w:r>
        <w:rPr>
          <w:i/>
          <w:lang w:eastAsia="en-US"/>
        </w:rPr>
        <w:t xml:space="preserve">Дата заполнения число / месяц/ год</w:t>
      </w:r>
      <w:r>
        <w:rPr>
          <w:i/>
          <w:lang w:eastAsia="en-US"/>
        </w:rPr>
      </w:r>
      <w:r>
        <w:rPr>
          <w:i/>
          <w:lang w:eastAsia="en-US"/>
        </w:rPr>
      </w:r>
    </w:p>
    <w:tbl>
      <w:tblPr>
        <w:tblpPr w:horzAnchor="margin" w:tblpXSpec="center" w:vertAnchor="text" w:tblpY="86" w:leftFromText="180" w:topFromText="0" w:rightFromText="180" w:bottomFromText="0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87"/>
        <w:gridCol w:w="905"/>
        <w:gridCol w:w="1173"/>
        <w:gridCol w:w="1032"/>
        <w:gridCol w:w="952"/>
        <w:gridCol w:w="1418"/>
        <w:gridCol w:w="445"/>
        <w:gridCol w:w="752"/>
        <w:gridCol w:w="753"/>
        <w:gridCol w:w="957"/>
        <w:gridCol w:w="740"/>
        <w:gridCol w:w="1848"/>
        <w:gridCol w:w="1135"/>
        <w:gridCol w:w="1735"/>
      </w:tblGrid>
      <w:tr>
        <w:tblPrEx/>
        <w:trPr>
          <w:trHeight w:val="315"/>
        </w:trPr>
        <w:tc>
          <w:tcPr>
            <w:shd w:val="clear" w:color="auto" w:fill="bfbfb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restart"/>
            <w:textDirection w:val="lrTb"/>
            <w:noWrap w:val="false"/>
          </w:tcPr>
          <w:p>
            <w:pPr>
              <w:jc w:val="right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№ п/п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gridSpan w:val="6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65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контрагента (ИНН, вид деятельности)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gridSpan w:val="8"/>
            <w:shd w:val="clear" w:color="auto" w:fill="bfbfb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363" w:type="dxa"/>
            <w:vAlign w:val="bottom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собственников, включая бенефициаров(в том числе конечных)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</w:tr>
      <w:tr>
        <w:tblPrEx/>
        <w:trPr>
          <w:trHeight w:val="109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right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right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right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Фамилия, Имя, Отчество руководителя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№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ИНН (при наличии)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-4295140</wp:posOffset>
                      </wp:positionH>
                      <wp:positionV relativeFrom="paragraph">
                        <wp:posOffset>374015</wp:posOffset>
                      </wp:positionV>
                      <wp:extent cx="7829550" cy="822960"/>
                      <wp:effectExtent l="0" t="2076450" r="0" b="2091689"/>
                      <wp:wrapNone/>
                      <wp:docPr id="1" name="Надпись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 txBox="1"/>
                            <wps:spPr bwMode="auto">
                              <a:xfrm rot="19549008">
                                <a:off x="0" y="0"/>
                                <a:ext cx="7829550" cy="8229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567"/>
                                    <w:jc w:val="center"/>
                                    <w:rPr>
                                      <w:b/>
                                      <w:color w:val="4bacc6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4bacc6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Образец не заполнять</w:t>
                                  </w:r>
                                  <w:r>
                                    <w:rPr>
                                      <w:b/>
                                      <w:color w:val="4bacc6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r>
                                  <w:r>
                                    <w:rPr>
                                      <w:b/>
                                      <w:color w:val="4bacc6" w:themeColor="accent5"/>
                                      <w:sz w:val="72"/>
                                      <w:szCs w:val="72"/>
                                      <w14:textOutline w14:w="10160" w14:cap="flat" w14:cmpd="sng" w14:algn="ctr">
                                        <w14:solidFill>
                                          <w14:schemeClr w14:val="accent5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r>
                                </w:p>
                                <w:p>
                                  <w:pPr>
                                    <w:contextualSpacing/>
                                    <w:widowControl w:val="off"/>
                                    <w:tabs>
                                      <w:tab w:val="decimal" w:pos="4152" w:leader="none"/>
                                      <w:tab w:val="decimal" w:pos="8305" w:leader="none"/>
                                    </w:tabs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  <w:r>
                                    <w:rPr>
                                      <w:rFonts w:eastAsia="Arial Unicode MS"/>
                                      <w:color w:val="000000" w:themeColor="text1"/>
                                      <w:sz w:val="96"/>
                                      <w:szCs w:val="7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/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hape 0" o:spid="_x0000_s0" o:spt="202" type="#_x0000_t202" style="position:absolute;z-index:251659264;o:allowoverlap:true;o:allowincell:true;mso-position-horizontal-relative:margin;margin-left:-338.20pt;mso-position-horizontal:absolute;mso-position-vertical-relative:text;margin-top:29.45pt;mso-position-vertical:absolute;width:616.50pt;height:64.80pt;mso-wrap-distance-left:9.00pt;mso-wrap-distance-top:0.00pt;mso-wrap-distance-right:9.00pt;mso-wrap-distance-bottom:0.00pt;rotation:325;v-text-anchor:top;visibility:visible;" filled="f" stroked="f">
                      <v:textbox inset="0,0,0,0">
                        <w:txbxContent>
                          <w:p>
                            <w:pPr>
                              <w:ind w:firstLine="567"/>
                              <w:jc w:val="center"/>
                              <w:rPr>
                                <w:b/>
                                <w:color w:val="4bacc6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4bacc6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Образец не заполнять</w:t>
                            </w:r>
                            <w:r>
                              <w:rPr>
                                <w:b/>
                                <w:color w:val="4bacc6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  <w:r>
                              <w:rPr>
                                <w:b/>
                                <w:color w:val="4bacc6" w:themeColor="accent5"/>
                                <w:sz w:val="72"/>
                                <w:szCs w:val="72"/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r>
                          </w:p>
                          <w:p>
                            <w:pPr>
                              <w:contextualSpacing/>
                              <w:widowControl w:val="off"/>
                              <w:tabs>
                                <w:tab w:val="decimal" w:pos="4152" w:leader="none"/>
                                <w:tab w:val="decimal" w:pos="8305" w:leader="none"/>
                              </w:tabs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  <w:r>
                              <w:rPr>
                                <w:rFonts w:eastAsia="Arial Unicode MS"/>
                                <w:color w:val="000000" w:themeColor="text1"/>
                                <w:sz w:val="96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/ Ф.И.О.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 удостоверяющего личность руководителя (для физических лиц)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Руководитель/участник/бенефициар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color w:val="000000"/>
                <w:sz w:val="16"/>
                <w:szCs w:val="16"/>
                <w:lang w:eastAsia="zh-TW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документов (наименование, номера и тд)</w:t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color w:val="000000"/>
                <w:sz w:val="16"/>
                <w:szCs w:val="16"/>
                <w:lang w:eastAsia="zh-TW"/>
              </w:rPr>
            </w:r>
          </w:p>
        </w:tc>
      </w:tr>
      <w:tr>
        <w:tblPrEx/>
        <w:trPr>
          <w:trHeight w:val="123"/>
        </w:trPr>
        <w:tc>
          <w:tcPr>
            <w:shd w:val="clear" w:color="auto" w:fill="bfbfb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2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3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4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5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6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7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8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9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10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11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12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7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13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14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  <w:tc>
          <w:tcPr>
            <w:shd w:val="clear" w:color="auto" w:fill="bfbfb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15</w:t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  <w:r>
              <w:rPr>
                <w:rFonts w:eastAsia="PMingLiU"/>
                <w:i/>
                <w:color w:val="000000"/>
                <w:sz w:val="16"/>
                <w:szCs w:val="16"/>
                <w:lang w:eastAsia="zh-TW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eastAsia="PMingLiU"/>
                <w:color w:val="000000"/>
                <w:sz w:val="24"/>
                <w:szCs w:val="24"/>
                <w:lang w:eastAsia="zh-TW"/>
              </w:rPr>
            </w:r>
            <w:r>
              <w:rPr>
                <w:rFonts w:eastAsia="PMingLiU"/>
                <w:color w:val="000000"/>
                <w:sz w:val="24"/>
                <w:szCs w:val="24"/>
                <w:lang w:eastAsia="zh-TW"/>
              </w:rPr>
            </w:r>
            <w:r>
              <w:rPr>
                <w:rFonts w:eastAsia="PMingLiU"/>
                <w:color w:val="000000"/>
                <w:sz w:val="24"/>
                <w:szCs w:val="24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5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7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</w:tr>
      <w:tr>
        <w:tblPrEx/>
        <w:trPr>
          <w:trHeight w:val="188"/>
        </w:trPr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86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4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73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3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45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2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53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57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40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7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5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34" w:type="dxa"/>
            <w:vAlign w:val="bottom"/>
            <w:textDirection w:val="lrTb"/>
            <w:noWrap/>
          </w:tcPr>
          <w:p>
            <w:pPr>
              <w:jc w:val="right"/>
              <w:widowControl w:val="off"/>
              <w:rPr>
                <w:rFonts w:eastAsia="PMingLiU"/>
                <w:color w:val="000000"/>
                <w:lang w:eastAsia="zh-TW"/>
              </w:rPr>
            </w:pP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  <w:r>
              <w:rPr>
                <w:rFonts w:eastAsia="PMingLiU"/>
                <w:color w:val="000000"/>
                <w:lang w:eastAsia="zh-TW"/>
              </w:rPr>
            </w:r>
          </w:p>
        </w:tc>
      </w:tr>
    </w:tbl>
    <w:p>
      <w:pPr>
        <w:ind w:left="284" w:right="-60"/>
        <w:jc w:val="both"/>
        <w:tabs>
          <w:tab w:val="center" w:pos="284" w:leader="none"/>
          <w:tab w:val="right" w:pos="9355" w:leader="none"/>
        </w:tabs>
        <w:rPr>
          <w:rFonts w:eastAsia="PMingLiU"/>
          <w:sz w:val="18"/>
          <w:szCs w:val="18"/>
          <w:lang w:eastAsia="en-US"/>
        </w:rPr>
      </w:pPr>
      <w:r>
        <w:rPr>
          <w:rFonts w:eastAsia="PMingLiU"/>
          <w:sz w:val="18"/>
          <w:szCs w:val="18"/>
          <w:lang w:eastAsia="en-US"/>
        </w:rPr>
      </w:r>
      <w:r>
        <w:rPr>
          <w:rFonts w:eastAsia="PMingLiU"/>
          <w:sz w:val="18"/>
          <w:szCs w:val="18"/>
          <w:lang w:eastAsia="en-US"/>
        </w:rPr>
      </w:r>
      <w:r>
        <w:rPr>
          <w:rFonts w:eastAsia="PMingLiU"/>
          <w:sz w:val="18"/>
          <w:szCs w:val="18"/>
          <w:lang w:eastAsia="en-US"/>
        </w:rPr>
      </w:r>
    </w:p>
    <w:p>
      <w:pPr>
        <w:numPr>
          <w:ilvl w:val="1"/>
          <w:numId w:val="2"/>
        </w:numPr>
        <w:ind w:left="284" w:right="-60" w:hanging="426"/>
        <w:jc w:val="both"/>
        <w:tabs>
          <w:tab w:val="center" w:pos="284" w:leader="none"/>
          <w:tab w:val="clear" w:pos="1440" w:leader="none"/>
          <w:tab w:val="right" w:pos="9355" w:leader="none"/>
        </w:tabs>
        <w:rPr>
          <w:rFonts w:eastAsia="PMingLiU"/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Исполнитель гарантирует Заказчику</w:t>
      </w:r>
      <w:r>
        <w:rPr>
          <w:sz w:val="18"/>
          <w:szCs w:val="18"/>
          <w:lang w:eastAsia="en-US"/>
        </w:rPr>
        <w:t xml:space="preserve">,</w:t>
      </w:r>
      <w:r>
        <w:rPr>
          <w:sz w:val="18"/>
          <w:szCs w:val="18"/>
          <w:lang w:eastAsia="en-US"/>
        </w:rPr>
        <w:t xml:space="preserve"> что сведения и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документы в отношении всей цепочки собственников и руководителей, включая бенефициаров (в том числе конечных), передаваемые Заказчику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являются полными, точными и достоверными.</w:t>
      </w:r>
      <w:r>
        <w:rPr>
          <w:rFonts w:eastAsia="PMingLiU"/>
          <w:sz w:val="18"/>
          <w:szCs w:val="18"/>
          <w:lang w:eastAsia="en-US"/>
        </w:rPr>
      </w:r>
      <w:r>
        <w:rPr>
          <w:rFonts w:eastAsia="PMingLiU"/>
          <w:sz w:val="18"/>
          <w:szCs w:val="18"/>
          <w:lang w:eastAsia="en-US"/>
        </w:rPr>
      </w:r>
    </w:p>
    <w:p>
      <w:pPr>
        <w:numPr>
          <w:ilvl w:val="1"/>
          <w:numId w:val="2"/>
        </w:numPr>
        <w:ind w:left="284" w:right="-60" w:hanging="426"/>
        <w:jc w:val="both"/>
        <w:tabs>
          <w:tab w:val="center" w:pos="284" w:leader="none"/>
          <w:tab w:val="clear" w:pos="1440" w:leader="none"/>
          <w:tab w:val="right" w:pos="9355" w:leader="none"/>
        </w:tabs>
        <w:rPr>
          <w:sz w:val="18"/>
          <w:szCs w:val="18"/>
          <w:lang w:eastAsia="en-US"/>
        </w:rPr>
      </w:pPr>
      <w:r>
        <w:rPr>
          <w:sz w:val="18"/>
          <w:szCs w:val="18"/>
          <w:lang w:eastAsia="en-US"/>
        </w:rPr>
        <w:t xml:space="preserve">Исполнитель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настоящи</w:t>
      </w:r>
      <w:r>
        <w:rPr>
          <w:sz w:val="18"/>
          <w:szCs w:val="18"/>
          <w:lang w:eastAsia="en-US"/>
        </w:rPr>
        <w:t xml:space="preserve">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</w:t>
      </w:r>
      <w:r>
        <w:rPr>
          <w:sz w:val="18"/>
          <w:szCs w:val="18"/>
          <w:lang w:eastAsia="en-US"/>
        </w:rPr>
        <w:t xml:space="preserve">на обработку, а также на раскрытие Заказчиком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Росфинмониторингу, Правительству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РФ) и последующую обработку сведений такими органами (далее - Раскрытие). Исполнитель настоящим освобождает Заказчика от любой ответственности в связи с Раскрытием, в том числе возмещает Заказчику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убытки, понесенные в связи с предъявлением Обществу Заказчику</w:t>
      </w:r>
      <w:r>
        <w:rPr>
          <w:sz w:val="18"/>
          <w:szCs w:val="18"/>
          <w:lang w:eastAsia="en-US"/>
        </w:rPr>
        <w:t xml:space="preserve"> </w:t>
      </w:r>
      <w:r>
        <w:rPr>
          <w:sz w:val="18"/>
          <w:szCs w:val="18"/>
          <w:lang w:eastAsia="en-US"/>
        </w:rPr>
        <w:t xml:space="preserve">претензий, исков и требований любыми третьими лицами, чьи права были или могли быть нарушены таким Раскрытием.</w:t>
      </w:r>
      <w:r>
        <w:rPr>
          <w:sz w:val="18"/>
          <w:szCs w:val="18"/>
          <w:lang w:eastAsia="en-US"/>
        </w:rPr>
      </w:r>
      <w:r>
        <w:rPr>
          <w:sz w:val="18"/>
          <w:szCs w:val="18"/>
          <w:lang w:eastAsia="en-US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Arial" w:hAnsi="Arial" w:eastAsia="Calibri" w:cs="Arial"/>
          <w:b/>
          <w:bCs/>
          <w:sz w:val="24"/>
          <w:szCs w:val="24"/>
        </w:rPr>
      </w:pPr>
      <w:r>
        <w:rPr>
          <w:rFonts w:ascii="Arial" w:hAnsi="Arial" w:eastAsia="Calibri" w:cs="Arial"/>
          <w:b/>
          <w:sz w:val="24"/>
          <w:szCs w:val="24"/>
        </w:rPr>
      </w:r>
      <w:r>
        <w:rPr>
          <w:rFonts w:ascii="Arial" w:hAnsi="Arial" w:eastAsia="Calibri" w:cs="Arial"/>
          <w:b/>
          <w:bCs/>
          <w:sz w:val="24"/>
          <w:szCs w:val="24"/>
        </w:rPr>
      </w:r>
      <w:r>
        <w:rPr>
          <w:rFonts w:ascii="Arial" w:hAnsi="Arial" w:eastAsia="Calibri" w:cs="Arial"/>
          <w:b/>
          <w:bCs/>
          <w:sz w:val="24"/>
          <w:szCs w:val="24"/>
        </w:rPr>
      </w:r>
    </w:p>
    <w:p>
      <w:pPr>
        <w:jc w:val="right"/>
        <w:tabs>
          <w:tab w:val="center" w:pos="4677" w:leader="none"/>
          <w:tab w:val="right" w:pos="9355" w:leader="none"/>
        </w:tabs>
        <w:rPr>
          <w:rFonts w:ascii="Arial" w:hAnsi="Arial" w:eastAsia="Calibri" w:cs="Arial"/>
          <w:b/>
          <w:bCs/>
          <w:sz w:val="24"/>
          <w:szCs w:val="24"/>
        </w:rPr>
      </w:pPr>
      <w:r>
        <w:rPr>
          <w:rFonts w:ascii="Arial" w:hAnsi="Arial" w:eastAsia="Calibri" w:cs="Arial"/>
          <w:b/>
          <w:sz w:val="24"/>
          <w:szCs w:val="24"/>
        </w:rPr>
      </w:r>
      <w:r>
        <w:rPr>
          <w:rFonts w:ascii="Arial" w:hAnsi="Arial" w:eastAsia="Calibri" w:cs="Arial"/>
          <w:b/>
          <w:bCs/>
          <w:sz w:val="24"/>
          <w:szCs w:val="24"/>
        </w:rPr>
      </w:r>
      <w:r>
        <w:rPr>
          <w:rFonts w:ascii="Arial" w:hAnsi="Arial" w:eastAsia="Calibri" w:cs="Arial"/>
          <w:b/>
          <w:bCs/>
          <w:sz w:val="24"/>
          <w:szCs w:val="24"/>
        </w:rPr>
      </w:r>
    </w:p>
    <w:p>
      <w:pPr>
        <w:pStyle w:val="835"/>
        <w:ind w:left="1789"/>
        <w:spacing w:line="23" w:lineRule="atLeast"/>
        <w:tabs>
          <w:tab w:val="left" w:pos="426" w:leader="none"/>
        </w:tabs>
        <w:rPr>
          <w:rFonts w:ascii="Times New Roman" w:hAnsi="Times New Roman" w:eastAsia="Cambria"/>
          <w:b/>
          <w:bCs/>
          <w:highlight w:val="none"/>
        </w:rPr>
      </w:pP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ab/>
      </w:r>
      <w:r>
        <w:rPr>
          <w:rFonts w:ascii="Times New Roman" w:hAnsi="Times New Roman" w:eastAsia="Cambria"/>
          <w:b/>
        </w:rPr>
        <w:t xml:space="preserve">Форму утверждаем:</w:t>
      </w:r>
      <w:r>
        <w:rPr>
          <w:rFonts w:ascii="Times New Roman" w:hAnsi="Times New Roman" w:eastAsia="Cambria"/>
          <w:b/>
          <w:bCs/>
          <w:highlight w:val="none"/>
        </w:rPr>
      </w:r>
      <w:r>
        <w:rPr>
          <w:rFonts w:ascii="Times New Roman" w:hAnsi="Times New Roman" w:eastAsia="Cambria"/>
          <w:b/>
          <w:bCs/>
          <w:highlight w:val="none"/>
        </w:rPr>
      </w:r>
    </w:p>
    <w:tbl>
      <w:tblPr>
        <w:tblW w:w="11064" w:type="dxa"/>
        <w:tblInd w:w="2841" w:type="dxa"/>
        <w:tblLayout w:type="fixed"/>
        <w:tblCellMar>
          <w:left w:w="55" w:type="dxa"/>
          <w:top w:w="55" w:type="dxa"/>
          <w:right w:w="55" w:type="dxa"/>
          <w:bottom w:w="55" w:type="dxa"/>
        </w:tblCellMar>
        <w:tblLook w:val="0000" w:firstRow="0" w:lastRow="0" w:firstColumn="0" w:lastColumn="0" w:noHBand="0" w:noVBand="0"/>
      </w:tblPr>
      <w:tblGrid>
        <w:gridCol w:w="5103"/>
        <w:gridCol w:w="5961"/>
      </w:tblGrid>
      <w:tr>
        <w:tblPrEx/>
        <w:trPr>
          <w:trHeight w:val="344"/>
        </w:trPr>
        <w:tc>
          <w:tcPr>
            <w:shd w:val="clear" w:color="ffffff" w:fill="ffffff"/>
            <w:tcW w:w="5103" w:type="dxa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5961" w:type="dxa"/>
            <w:textDirection w:val="lrTb"/>
            <w:noWrap w:val="false"/>
          </w:tcPr>
          <w:p>
            <w:pPr>
              <w:pStyle w:val="844"/>
              <w:contextualSpacing/>
              <w:tabs>
                <w:tab w:val="decimal" w:pos="4152" w:leader="none"/>
                <w:tab w:val="decimal" w:pos="8305" w:leader="none"/>
              </w:tabs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Исполнитель: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835"/>
        <w:ind w:left="1789"/>
        <w:spacing w:line="23" w:lineRule="atLeast"/>
        <w:tabs>
          <w:tab w:val="left" w:pos="426" w:leader="none"/>
        </w:tabs>
        <w:rPr>
          <w:rFonts w:ascii="Times New Roman" w:hAnsi="Times New Roman" w:eastAsia="Cambria"/>
          <w:b/>
          <w:bCs/>
        </w:rPr>
      </w:pPr>
      <w:r>
        <w:rPr>
          <w:rFonts w:ascii="Times New Roman" w:hAnsi="Times New Roman" w:eastAsia="Cambria"/>
          <w:b/>
          <w:highlight w:val="none"/>
        </w:rPr>
      </w:r>
      <w:r>
        <w:rPr>
          <w:rFonts w:ascii="Times New Roman" w:hAnsi="Times New Roman" w:eastAsia="Cambria"/>
          <w:b/>
          <w:highlight w:val="none"/>
        </w:rPr>
      </w:r>
      <w:r>
        <w:rPr>
          <w:rFonts w:ascii="Times New Roman" w:hAnsi="Times New Roman" w:eastAsia="Cambria"/>
          <w:b/>
          <w:bCs/>
        </w:rPr>
      </w:r>
    </w:p>
    <w:p>
      <w:pPr>
        <w:jc w:val="center"/>
        <w:tabs>
          <w:tab w:val="left" w:pos="5103" w:leader="none"/>
        </w:tabs>
      </w:pPr>
      <w:r/>
      <w:r/>
    </w:p>
    <w:sectPr>
      <w:footnotePr/>
      <w:endnotePr/>
      <w:type w:val="nextPage"/>
      <w:pgSz w:w="16838" w:h="11906" w:orient="landscape"/>
      <w:pgMar w:top="709" w:right="1134" w:bottom="56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</w:font>
  <w:font w:name="PMingLiU">
    <w:panose1 w:val="02020502040504020204"/>
  </w:font>
  <w:font w:name="Courier New">
    <w:panose1 w:val="020704090202050204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89" w:hanging="360"/>
        <w:tabs>
          <w:tab w:val="num" w:pos="1789" w:leader="none"/>
        </w:tabs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num w:numId="1">
    <w:abstractNumId w:val="0"/>
    <w:lvlOverride w:ilvl="1">
      <w:startOverride w:val="1"/>
    </w:lvlOverride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1"/>
    <w:next w:val="831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2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1"/>
    <w:next w:val="831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2"/>
    <w:link w:val="659"/>
    <w:uiPriority w:val="9"/>
    <w:rPr>
      <w:rFonts w:ascii="Arial" w:hAnsi="Arial" w:eastAsia="Arial" w:cs="Arial"/>
      <w:sz w:val="34"/>
    </w:rPr>
  </w:style>
  <w:style w:type="paragraph" w:styleId="661">
    <w:name w:val="Heading 3"/>
    <w:basedOn w:val="831"/>
    <w:next w:val="831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2">
    <w:name w:val="Heading 3 Char"/>
    <w:basedOn w:val="832"/>
    <w:link w:val="661"/>
    <w:uiPriority w:val="9"/>
    <w:rPr>
      <w:rFonts w:ascii="Arial" w:hAnsi="Arial" w:eastAsia="Arial" w:cs="Arial"/>
      <w:sz w:val="30"/>
      <w:szCs w:val="30"/>
    </w:rPr>
  </w:style>
  <w:style w:type="paragraph" w:styleId="663">
    <w:name w:val="Heading 4"/>
    <w:basedOn w:val="831"/>
    <w:next w:val="831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4">
    <w:name w:val="Heading 4 Char"/>
    <w:basedOn w:val="832"/>
    <w:link w:val="663"/>
    <w:uiPriority w:val="9"/>
    <w:rPr>
      <w:rFonts w:ascii="Arial" w:hAnsi="Arial" w:eastAsia="Arial" w:cs="Arial"/>
      <w:b/>
      <w:bCs/>
      <w:sz w:val="26"/>
      <w:szCs w:val="26"/>
    </w:rPr>
  </w:style>
  <w:style w:type="paragraph" w:styleId="665">
    <w:name w:val="Heading 5"/>
    <w:basedOn w:val="831"/>
    <w:next w:val="831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6">
    <w:name w:val="Heading 5 Char"/>
    <w:basedOn w:val="832"/>
    <w:link w:val="665"/>
    <w:uiPriority w:val="9"/>
    <w:rPr>
      <w:rFonts w:ascii="Arial" w:hAnsi="Arial" w:eastAsia="Arial" w:cs="Arial"/>
      <w:b/>
      <w:bCs/>
      <w:sz w:val="24"/>
      <w:szCs w:val="24"/>
    </w:rPr>
  </w:style>
  <w:style w:type="paragraph" w:styleId="667">
    <w:name w:val="Heading 6"/>
    <w:basedOn w:val="831"/>
    <w:next w:val="831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8">
    <w:name w:val="Heading 6 Char"/>
    <w:basedOn w:val="832"/>
    <w:link w:val="667"/>
    <w:uiPriority w:val="9"/>
    <w:rPr>
      <w:rFonts w:ascii="Arial" w:hAnsi="Arial" w:eastAsia="Arial" w:cs="Arial"/>
      <w:b/>
      <w:bCs/>
      <w:sz w:val="22"/>
      <w:szCs w:val="22"/>
    </w:rPr>
  </w:style>
  <w:style w:type="paragraph" w:styleId="669">
    <w:name w:val="Heading 7"/>
    <w:basedOn w:val="831"/>
    <w:next w:val="831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0">
    <w:name w:val="Heading 7 Char"/>
    <w:basedOn w:val="832"/>
    <w:link w:val="66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1">
    <w:name w:val="Heading 8"/>
    <w:basedOn w:val="831"/>
    <w:next w:val="831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2">
    <w:name w:val="Heading 8 Char"/>
    <w:basedOn w:val="832"/>
    <w:link w:val="671"/>
    <w:uiPriority w:val="9"/>
    <w:rPr>
      <w:rFonts w:ascii="Arial" w:hAnsi="Arial" w:eastAsia="Arial" w:cs="Arial"/>
      <w:i/>
      <w:iCs/>
      <w:sz w:val="22"/>
      <w:szCs w:val="22"/>
    </w:rPr>
  </w:style>
  <w:style w:type="paragraph" w:styleId="673">
    <w:name w:val="Heading 9"/>
    <w:basedOn w:val="831"/>
    <w:next w:val="831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4">
    <w:name w:val="Heading 9 Char"/>
    <w:basedOn w:val="832"/>
    <w:link w:val="673"/>
    <w:uiPriority w:val="9"/>
    <w:rPr>
      <w:rFonts w:ascii="Arial" w:hAnsi="Arial" w:eastAsia="Arial" w:cs="Arial"/>
      <w:i/>
      <w:iCs/>
      <w:sz w:val="21"/>
      <w:szCs w:val="21"/>
    </w:rPr>
  </w:style>
  <w:style w:type="paragraph" w:styleId="675">
    <w:name w:val="No Spacing"/>
    <w:uiPriority w:val="1"/>
    <w:qFormat/>
    <w:pPr>
      <w:spacing w:before="0" w:after="0" w:line="240" w:lineRule="auto"/>
    </w:pPr>
  </w:style>
  <w:style w:type="character" w:styleId="676">
    <w:name w:val="Title Char"/>
    <w:basedOn w:val="832"/>
    <w:link w:val="842"/>
    <w:uiPriority w:val="10"/>
    <w:rPr>
      <w:sz w:val="48"/>
      <w:szCs w:val="48"/>
    </w:rPr>
  </w:style>
  <w:style w:type="paragraph" w:styleId="677">
    <w:name w:val="Subtitle"/>
    <w:basedOn w:val="831"/>
    <w:next w:val="831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2"/>
    <w:link w:val="677"/>
    <w:uiPriority w:val="11"/>
    <w:rPr>
      <w:sz w:val="24"/>
      <w:szCs w:val="24"/>
    </w:rPr>
  </w:style>
  <w:style w:type="paragraph" w:styleId="679">
    <w:name w:val="Quote"/>
    <w:basedOn w:val="831"/>
    <w:next w:val="831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1"/>
    <w:next w:val="831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character" w:styleId="683">
    <w:name w:val="Header Char"/>
    <w:basedOn w:val="832"/>
    <w:link w:val="836"/>
    <w:uiPriority w:val="99"/>
  </w:style>
  <w:style w:type="character" w:styleId="684">
    <w:name w:val="Footer Char"/>
    <w:basedOn w:val="832"/>
    <w:link w:val="838"/>
    <w:uiPriority w:val="99"/>
  </w:style>
  <w:style w:type="paragraph" w:styleId="685">
    <w:name w:val="Caption"/>
    <w:basedOn w:val="831"/>
    <w:next w:val="831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685"/>
    <w:link w:val="838"/>
    <w:uiPriority w:val="99"/>
  </w:style>
  <w:style w:type="table" w:styleId="687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List Paragraph"/>
    <w:basedOn w:val="831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eastAsia="en-US"/>
    </w:rPr>
  </w:style>
  <w:style w:type="paragraph" w:styleId="836">
    <w:name w:val="Header"/>
    <w:basedOn w:val="831"/>
    <w:link w:val="83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7" w:customStyle="1">
    <w:name w:val="Верхний колонтитул Знак"/>
    <w:basedOn w:val="832"/>
    <w:link w:val="836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38">
    <w:name w:val="Footer"/>
    <w:basedOn w:val="831"/>
    <w:link w:val="8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39" w:customStyle="1">
    <w:name w:val="Нижний колонтитул Знак"/>
    <w:basedOn w:val="832"/>
    <w:link w:val="838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40">
    <w:name w:val="Balloon Text"/>
    <w:basedOn w:val="831"/>
    <w:link w:val="841"/>
    <w:uiPriority w:val="99"/>
    <w:semiHidden/>
    <w:unhideWhenUsed/>
    <w:rPr>
      <w:rFonts w:ascii="Tahoma" w:hAnsi="Tahoma" w:cs="Tahoma"/>
      <w:sz w:val="16"/>
      <w:szCs w:val="16"/>
    </w:rPr>
  </w:style>
  <w:style w:type="character" w:styleId="841" w:customStyle="1">
    <w:name w:val="Текст выноски Знак"/>
    <w:basedOn w:val="832"/>
    <w:link w:val="84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842">
    <w:name w:val="Title"/>
    <w:basedOn w:val="831"/>
    <w:link w:val="843"/>
    <w:qFormat/>
    <w:pPr>
      <w:ind w:left="4320" w:firstLine="720"/>
      <w:jc w:val="center"/>
    </w:pPr>
    <w:rPr>
      <w:sz w:val="24"/>
      <w:szCs w:val="24"/>
    </w:rPr>
  </w:style>
  <w:style w:type="character" w:styleId="843" w:customStyle="1">
    <w:name w:val="Заголовок Знак"/>
    <w:basedOn w:val="832"/>
    <w:link w:val="842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4" w:customStyle="1">
    <w:name w:val="waa"/>
    <w:basedOn w:val="831"/>
    <w:pPr>
      <w:widowControl w:val="off"/>
      <w:tabs>
        <w:tab w:val="center" w:pos="4152" w:leader="none"/>
        <w:tab w:val="right" w:pos="8305" w:leader="none"/>
      </w:tabs>
    </w:pPr>
    <w:rPr>
      <w:rFonts w:eastAsia="Arial Unicode MS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Людмила Васильевна</dc:creator>
  <cp:keywords/>
  <dc:description/>
  <cp:lastModifiedBy>safiullina_er</cp:lastModifiedBy>
  <cp:revision>36</cp:revision>
  <dcterms:created xsi:type="dcterms:W3CDTF">2019-09-24T05:07:00Z</dcterms:created>
  <dcterms:modified xsi:type="dcterms:W3CDTF">2025-06-11T10:32:18Z</dcterms:modified>
</cp:coreProperties>
</file>